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ascii="黑体" w:hAnsi="黑体" w:eastAsia="黑体" w:cstheme="minorEastAsia"/>
          <w:b/>
          <w:sz w:val="28"/>
          <w:szCs w:val="28"/>
        </w:rPr>
      </w:pPr>
      <w:r>
        <w:rPr>
          <w:rFonts w:hint="eastAsia" w:ascii="黑体" w:hAnsi="黑体" w:eastAsia="黑体" w:cstheme="minorEastAsia"/>
          <w:b/>
          <w:sz w:val="28"/>
          <w:szCs w:val="28"/>
        </w:rPr>
        <w:t>附件2</w:t>
      </w:r>
    </w:p>
    <w:p>
      <w:pPr>
        <w:spacing w:line="720" w:lineRule="auto"/>
        <w:jc w:val="center"/>
        <w:rPr>
          <w:rFonts w:asciiTheme="minorEastAsia" w:hAnsiTheme="minorEastAsia" w:cstheme="minorEastAsia"/>
          <w:sz w:val="2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问卷调查硕士学位授权点在学研究生信息汇总表</w:t>
      </w:r>
    </w:p>
    <w:bookmarkEnd w:id="0"/>
    <w:tbl>
      <w:tblPr>
        <w:tblStyle w:val="3"/>
        <w:tblW w:w="8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91"/>
        <w:gridCol w:w="1569"/>
        <w:gridCol w:w="1104"/>
        <w:gridCol w:w="1352"/>
        <w:gridCol w:w="1309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序号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单 位</w:t>
            </w:r>
          </w:p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代 码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培养单位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学位类别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学  科</w:t>
            </w:r>
          </w:p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代  码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学科名称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 xml:space="preserve">编号   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级  别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姓  名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学   号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全日制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1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2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3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4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5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6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7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8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9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10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11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12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13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14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15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合计人数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</w:tr>
    </w:tbl>
    <w:p>
      <w:pPr>
        <w:adjustRightInd w:val="0"/>
        <w:snapToGrid w:val="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注：1.本表一个硕士点填报一份。2.按照年级的高低顺序填写。3.是否全日制用√或×标示。</w:t>
      </w:r>
    </w:p>
    <w:p>
      <w:pPr>
        <w:adjustRightInd w:val="0"/>
        <w:snapToGrid w:val="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4.本表请在2019年</w:t>
      </w:r>
      <w:r>
        <w:rPr>
          <w:rFonts w:hint="eastAsia" w:asciiTheme="minorEastAsia" w:hAnsiTheme="minorEastAsia" w:cstheme="minorEastAsia"/>
          <w:b/>
          <w:bCs/>
          <w:szCs w:val="21"/>
        </w:rPr>
        <w:t>5月20日</w:t>
      </w:r>
      <w:r>
        <w:rPr>
          <w:rFonts w:hint="eastAsia" w:asciiTheme="minorEastAsia" w:hAnsiTheme="minorEastAsia" w:cstheme="minorEastAsia"/>
          <w:szCs w:val="21"/>
        </w:rPr>
        <w:t>前发送到电子邮箱：</w:t>
      </w:r>
      <w:r>
        <w:rPr>
          <w:rStyle w:val="5"/>
          <w:rFonts w:hint="eastAsia" w:ascii="仿宋" w:hAnsi="仿宋" w:eastAsia="仿宋"/>
          <w:color w:val="auto"/>
          <w:szCs w:val="21"/>
          <w:u w:val="none"/>
          <w:lang w:val="en-US" w:eastAsia="zh-CN"/>
        </w:rPr>
        <w:t>59066880</w:t>
      </w:r>
      <w:r>
        <w:rPr>
          <w:rStyle w:val="5"/>
          <w:rFonts w:hint="eastAsia" w:ascii="仿宋" w:hAnsi="仿宋" w:eastAsia="仿宋"/>
          <w:color w:val="auto"/>
          <w:szCs w:val="21"/>
          <w:u w:val="none"/>
        </w:rPr>
        <w:t>@</w:t>
      </w:r>
      <w:r>
        <w:rPr>
          <w:rStyle w:val="5"/>
          <w:rFonts w:hint="eastAsia" w:ascii="仿宋" w:hAnsi="仿宋" w:eastAsia="仿宋"/>
          <w:color w:val="auto"/>
          <w:szCs w:val="21"/>
          <w:u w:val="none"/>
          <w:lang w:val="en-US" w:eastAsia="zh-CN"/>
        </w:rPr>
        <w:t>qq</w:t>
      </w:r>
      <w:r>
        <w:rPr>
          <w:rStyle w:val="5"/>
          <w:rFonts w:hint="eastAsia" w:ascii="仿宋" w:hAnsi="仿宋" w:eastAsia="仿宋"/>
          <w:color w:val="auto"/>
          <w:szCs w:val="21"/>
          <w:u w:val="none"/>
        </w:rPr>
        <w:t>.com</w:t>
      </w:r>
    </w:p>
    <w:p>
      <w:pPr>
        <w:adjustRightInd w:val="0"/>
        <w:snapToGrid w:val="0"/>
        <w:spacing w:line="300" w:lineRule="auto"/>
        <w:jc w:val="center"/>
        <w:rPr>
          <w:rFonts w:asciiTheme="minorEastAsia" w:hAnsiTheme="minorEastAsia" w:cstheme="minorEastAsia"/>
          <w:sz w:val="24"/>
        </w:rPr>
      </w:pPr>
    </w:p>
    <w:p>
      <w:pPr>
        <w:adjustRightInd w:val="0"/>
        <w:snapToGrid w:val="0"/>
        <w:spacing w:line="300" w:lineRule="auto"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542A4"/>
    <w:rsid w:val="1F45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2019-05-24T01:38:00Z</dcterms:created>
  <dc:creator>芬儿</dc:creator>
  <cp:lastModifiedBy>芬儿</cp:lastModifiedBy>
  <dcterms:modified xsi:type="dcterms:W3CDTF">2019-05-24T01:48:44Z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